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widowControl w:val="0"/>
        <w:overflowPunct w:val="0"/>
        <w:autoSpaceDE w:val="0"/>
        <w:autoSpaceDN w:val="0"/>
        <w:adjustRightInd w:val="0"/>
        <w:spacing w:after="0"/>
        <w:jc w:val="right"/>
        <w:rPr>
          <w:rFonts w:ascii="Arial" w:hAnsi="Arial" w:cs="Arial"/>
          <w:b/>
          <w:bCs/>
          <w:noProof/>
          <w:sz w:val="28"/>
          <w:szCs w:val="28"/>
          <w:lang w:eastAsia="de-DE"/>
        </w:rPr>
      </w:pPr>
    </w:p>
    <w:p>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pPr>
        <w:widowControl w:val="0"/>
        <w:overflowPunct w:val="0"/>
        <w:autoSpaceDE w:val="0"/>
        <w:autoSpaceDN w:val="0"/>
        <w:adjustRightInd w:val="0"/>
        <w:spacing w:after="0"/>
        <w:jc w:val="center"/>
        <w:rPr>
          <w:rFonts w:ascii="Arial" w:eastAsia="Times New Roman" w:hAnsi="Arial" w:cs="Arial"/>
          <w:color w:val="003B79"/>
          <w:kern w:val="28"/>
          <w:sz w:val="36"/>
          <w:szCs w:val="36"/>
          <w:lang w:eastAsia="de-DE"/>
        </w:rPr>
      </w:pPr>
      <w:r>
        <w:rPr>
          <w:rFonts w:ascii="Arial" w:eastAsia="Times New Roman" w:hAnsi="Arial" w:cs="Arial"/>
          <w:color w:val="003B79"/>
          <w:kern w:val="28"/>
          <w:sz w:val="36"/>
          <w:szCs w:val="36"/>
          <w:lang w:eastAsia="de-DE"/>
        </w:rPr>
        <w:t>PRESSEMITTEILUNG</w:t>
      </w:r>
    </w:p>
    <w:p>
      <w:pPr>
        <w:widowControl w:val="0"/>
        <w:overflowPunct w:val="0"/>
        <w:autoSpaceDE w:val="0"/>
        <w:autoSpaceDN w:val="0"/>
        <w:adjustRightInd w:val="0"/>
        <w:spacing w:after="0"/>
        <w:rPr>
          <w:rFonts w:ascii="Arial" w:eastAsia="Times New Roman" w:hAnsi="Arial" w:cs="Arial"/>
          <w:color w:val="000000"/>
          <w:kern w:val="28"/>
          <w:lang w:eastAsia="de-DE"/>
        </w:rPr>
      </w:pPr>
    </w:p>
    <w:p>
      <w:pPr>
        <w:widowControl w:val="0"/>
        <w:overflowPunct w:val="0"/>
        <w:autoSpaceDE w:val="0"/>
        <w:autoSpaceDN w:val="0"/>
        <w:adjustRightInd w:val="0"/>
        <w:spacing w:after="0"/>
        <w:rPr>
          <w:rFonts w:ascii="Arial" w:eastAsia="Times New Roman" w:hAnsi="Arial" w:cs="Arial"/>
          <w:b/>
          <w:bCs/>
          <w:color w:val="000000"/>
          <w:kern w:val="28"/>
          <w:sz w:val="28"/>
          <w:szCs w:val="28"/>
          <w:lang w:eastAsia="de-DE"/>
        </w:rPr>
      </w:pPr>
      <w:r>
        <w:rPr>
          <w:rFonts w:ascii="Arial" w:eastAsia="Times New Roman" w:hAnsi="Arial" w:cs="Arial"/>
          <w:b/>
          <w:bCs/>
          <w:color w:val="000000"/>
          <w:kern w:val="28"/>
          <w:sz w:val="28"/>
          <w:szCs w:val="28"/>
          <w:lang w:eastAsia="de-DE"/>
        </w:rPr>
        <w:t>Verleihung des Hans Adolf Krebs-Preises an Frau Dr. med. Yanislava Karusheva</w:t>
      </w:r>
    </w:p>
    <w:p>
      <w:pPr>
        <w:widowControl w:val="0"/>
        <w:overflowPunct w:val="0"/>
        <w:autoSpaceDE w:val="0"/>
        <w:autoSpaceDN w:val="0"/>
        <w:adjustRightInd w:val="0"/>
        <w:spacing w:after="0"/>
        <w:rPr>
          <w:rFonts w:ascii="Arial" w:eastAsia="Times New Roman" w:hAnsi="Arial" w:cs="Arial"/>
          <w:color w:val="000000"/>
          <w:kern w:val="28"/>
          <w:lang w:eastAsia="de-DE"/>
        </w:rPr>
      </w:pPr>
    </w:p>
    <w:p>
      <w:pPr>
        <w:widowControl w:val="0"/>
        <w:overflowPunct w:val="0"/>
        <w:autoSpaceDE w:val="0"/>
        <w:autoSpaceDN w:val="0"/>
        <w:adjustRightInd w:val="0"/>
        <w:spacing w:after="0"/>
        <w:rPr>
          <w:rFonts w:ascii="Arial" w:eastAsia="Times New Roman" w:hAnsi="Arial" w:cs="Arial"/>
          <w:b/>
          <w:color w:val="000000"/>
          <w:kern w:val="28"/>
          <w:lang w:eastAsia="de-DE"/>
        </w:rPr>
      </w:pPr>
      <w:r>
        <w:rPr>
          <w:rFonts w:ascii="Arial" w:eastAsia="Times New Roman" w:hAnsi="Arial" w:cs="Arial"/>
          <w:b/>
          <w:color w:val="000000"/>
          <w:kern w:val="28"/>
          <w:lang w:eastAsia="de-DE"/>
        </w:rPr>
        <w:t>Zum 13. Mal wurde der Hans Adolf Krebs-Preis von der Deutschen Gesellschaft für Ernährung e.V. verliehen. Preisträgerin ist in diesem</w:t>
      </w:r>
      <w:bookmarkStart w:id="0" w:name="_GoBack"/>
      <w:bookmarkEnd w:id="0"/>
      <w:r>
        <w:rPr>
          <w:rFonts w:ascii="Arial" w:eastAsia="Times New Roman" w:hAnsi="Arial" w:cs="Arial"/>
          <w:b/>
          <w:color w:val="000000"/>
          <w:kern w:val="28"/>
          <w:lang w:eastAsia="de-DE"/>
        </w:rPr>
        <w:t xml:space="preserve"> Jahr Frau Dr. med. Yanislava Karusheva für ihre Arbeit über den Einfluss </w:t>
      </w:r>
      <w:proofErr w:type="spellStart"/>
      <w:r>
        <w:rPr>
          <w:rFonts w:ascii="Arial" w:eastAsia="Times New Roman" w:hAnsi="Arial" w:cs="Arial"/>
          <w:b/>
          <w:color w:val="000000"/>
          <w:kern w:val="28"/>
          <w:lang w:eastAsia="de-DE"/>
        </w:rPr>
        <w:t>verzweigtkettiger</w:t>
      </w:r>
      <w:proofErr w:type="spellEnd"/>
      <w:r>
        <w:rPr>
          <w:rFonts w:ascii="Arial" w:eastAsia="Times New Roman" w:hAnsi="Arial" w:cs="Arial"/>
          <w:b/>
          <w:color w:val="000000"/>
          <w:kern w:val="28"/>
          <w:lang w:eastAsia="de-DE"/>
        </w:rPr>
        <w:t xml:space="preserve"> Aminosäuren auf den Glukosestoffwechsel im Typ-2-Diabetes.</w:t>
      </w:r>
    </w:p>
    <w:p>
      <w:pPr>
        <w:widowControl w:val="0"/>
        <w:overflowPunct w:val="0"/>
        <w:autoSpaceDE w:val="0"/>
        <w:autoSpaceDN w:val="0"/>
        <w:adjustRightInd w:val="0"/>
        <w:spacing w:after="0"/>
        <w:rPr>
          <w:rFonts w:ascii="Arial" w:eastAsia="Times New Roman" w:hAnsi="Arial" w:cs="Arial"/>
          <w:color w:val="000000"/>
          <w:kern w:val="28"/>
          <w:lang w:eastAsia="de-DE"/>
        </w:rPr>
      </w:pPr>
    </w:p>
    <w:p>
      <w:pPr>
        <w:widowControl w:val="0"/>
        <w:overflowPunct w:val="0"/>
        <w:autoSpaceDE w:val="0"/>
        <w:autoSpaceDN w:val="0"/>
        <w:adjustRightInd w:val="0"/>
        <w:spacing w:after="0"/>
        <w:rPr>
          <w:rFonts w:ascii="Arial" w:eastAsia="Times New Roman" w:hAnsi="Arial" w:cs="Arial"/>
          <w:color w:val="000000"/>
          <w:kern w:val="28"/>
          <w:lang w:eastAsia="de-DE"/>
        </w:rPr>
      </w:pPr>
      <w:r>
        <w:rPr>
          <w:rFonts w:ascii="Arial" w:eastAsia="Times New Roman" w:hAnsi="Arial" w:cs="Arial"/>
          <w:b/>
          <w:color w:val="000000"/>
          <w:kern w:val="28"/>
          <w:lang w:eastAsia="de-DE"/>
        </w:rPr>
        <w:t xml:space="preserve">Düsseldorf (DDZ) – </w:t>
      </w:r>
      <w:r>
        <w:rPr>
          <w:rFonts w:ascii="Arial" w:eastAsia="Times New Roman" w:hAnsi="Arial" w:cs="Arial"/>
          <w:color w:val="000000"/>
          <w:kern w:val="28"/>
          <w:lang w:eastAsia="de-DE"/>
        </w:rPr>
        <w:t xml:space="preserve">Die Deutsche Gesellschaft für Ernährung vergibt seit 1981 alle vier Jahre den Hans Adolf Krebs-Preis für innovative, qualitative wissenschaftliche Arbeiten in der Ernährungsforschung. Die ausgezeichneten Arbeiten beschäftigen sich mit Fragestellungen zur Ernährungs- und Lebensmittelwissenschaft, sowie deren ernährungsphysiologischen Bedeutung und zeigen originelle Methoden hinsichtlich des Ansatzes und des Studiendesigns. Der mit 5.000 Euro dotierte Hans Adolf Krebs-Preis wurde dieses Jahr an Frau Dr. med. Yanislava Karusheva aus dem Institut für Klinische Diabetologie des Deutschen Diabetes-Zentrums (DDZ) für ihre klinisch-experimentelle Arbeit zum Thema „Short-term </w:t>
      </w:r>
      <w:proofErr w:type="spellStart"/>
      <w:r>
        <w:rPr>
          <w:rFonts w:ascii="Arial" w:eastAsia="Times New Roman" w:hAnsi="Arial" w:cs="Arial"/>
          <w:color w:val="000000"/>
          <w:kern w:val="28"/>
          <w:lang w:eastAsia="de-DE"/>
        </w:rPr>
        <w:t>dietary</w:t>
      </w:r>
      <w:proofErr w:type="spellEnd"/>
      <w:r>
        <w:rPr>
          <w:rFonts w:ascii="Arial" w:eastAsia="Times New Roman" w:hAnsi="Arial" w:cs="Arial"/>
          <w:color w:val="000000"/>
          <w:kern w:val="28"/>
          <w:lang w:eastAsia="de-DE"/>
        </w:rPr>
        <w:t xml:space="preserve"> </w:t>
      </w:r>
      <w:proofErr w:type="spellStart"/>
      <w:r>
        <w:rPr>
          <w:rFonts w:ascii="Arial" w:eastAsia="Times New Roman" w:hAnsi="Arial" w:cs="Arial"/>
          <w:color w:val="000000"/>
          <w:kern w:val="28"/>
          <w:lang w:eastAsia="de-DE"/>
        </w:rPr>
        <w:t>reduction</w:t>
      </w:r>
      <w:proofErr w:type="spellEnd"/>
      <w:r>
        <w:rPr>
          <w:rFonts w:ascii="Arial" w:eastAsia="Times New Roman" w:hAnsi="Arial" w:cs="Arial"/>
          <w:color w:val="000000"/>
          <w:kern w:val="28"/>
          <w:lang w:eastAsia="de-DE"/>
        </w:rPr>
        <w:t xml:space="preserve"> </w:t>
      </w:r>
      <w:proofErr w:type="spellStart"/>
      <w:r>
        <w:rPr>
          <w:rFonts w:ascii="Arial" w:eastAsia="Times New Roman" w:hAnsi="Arial" w:cs="Arial"/>
          <w:color w:val="000000"/>
          <w:kern w:val="28"/>
          <w:lang w:eastAsia="de-DE"/>
        </w:rPr>
        <w:t>of</w:t>
      </w:r>
      <w:proofErr w:type="spellEnd"/>
      <w:r>
        <w:rPr>
          <w:rFonts w:ascii="Arial" w:eastAsia="Times New Roman" w:hAnsi="Arial" w:cs="Arial"/>
          <w:color w:val="000000"/>
          <w:kern w:val="28"/>
          <w:lang w:eastAsia="de-DE"/>
        </w:rPr>
        <w:t xml:space="preserve"> </w:t>
      </w:r>
      <w:proofErr w:type="spellStart"/>
      <w:r>
        <w:rPr>
          <w:rFonts w:ascii="Arial" w:eastAsia="Times New Roman" w:hAnsi="Arial" w:cs="Arial"/>
          <w:color w:val="000000"/>
          <w:kern w:val="28"/>
          <w:lang w:eastAsia="de-DE"/>
        </w:rPr>
        <w:t>branched-chain</w:t>
      </w:r>
      <w:proofErr w:type="spellEnd"/>
      <w:r>
        <w:rPr>
          <w:rFonts w:ascii="Arial" w:eastAsia="Times New Roman" w:hAnsi="Arial" w:cs="Arial"/>
          <w:color w:val="000000"/>
          <w:kern w:val="28"/>
          <w:lang w:eastAsia="de-DE"/>
        </w:rPr>
        <w:t xml:space="preserve"> </w:t>
      </w:r>
      <w:proofErr w:type="spellStart"/>
      <w:r>
        <w:rPr>
          <w:rFonts w:ascii="Arial" w:eastAsia="Times New Roman" w:hAnsi="Arial" w:cs="Arial"/>
          <w:color w:val="000000"/>
          <w:kern w:val="28"/>
          <w:lang w:eastAsia="de-DE"/>
        </w:rPr>
        <w:t>amino</w:t>
      </w:r>
      <w:proofErr w:type="spellEnd"/>
      <w:r>
        <w:rPr>
          <w:rFonts w:ascii="Arial" w:eastAsia="Times New Roman" w:hAnsi="Arial" w:cs="Arial"/>
          <w:color w:val="000000"/>
          <w:kern w:val="28"/>
          <w:lang w:eastAsia="de-DE"/>
        </w:rPr>
        <w:t xml:space="preserve"> </w:t>
      </w:r>
      <w:proofErr w:type="spellStart"/>
      <w:r>
        <w:rPr>
          <w:rFonts w:ascii="Arial" w:eastAsia="Times New Roman" w:hAnsi="Arial" w:cs="Arial"/>
          <w:color w:val="000000"/>
          <w:kern w:val="28"/>
          <w:lang w:eastAsia="de-DE"/>
        </w:rPr>
        <w:t>acids</w:t>
      </w:r>
      <w:proofErr w:type="spellEnd"/>
      <w:r>
        <w:rPr>
          <w:rFonts w:ascii="Arial" w:eastAsia="Times New Roman" w:hAnsi="Arial" w:cs="Arial"/>
          <w:color w:val="000000"/>
          <w:kern w:val="28"/>
          <w:lang w:eastAsia="de-DE"/>
        </w:rPr>
        <w:t xml:space="preserve"> </w:t>
      </w:r>
      <w:proofErr w:type="spellStart"/>
      <w:r>
        <w:rPr>
          <w:rFonts w:ascii="Arial" w:eastAsia="Times New Roman" w:hAnsi="Arial" w:cs="Arial"/>
          <w:color w:val="000000"/>
          <w:kern w:val="28"/>
          <w:lang w:eastAsia="de-DE"/>
        </w:rPr>
        <w:t>reduces</w:t>
      </w:r>
      <w:proofErr w:type="spellEnd"/>
      <w:r>
        <w:rPr>
          <w:rFonts w:ascii="Arial" w:eastAsia="Times New Roman" w:hAnsi="Arial" w:cs="Arial"/>
          <w:color w:val="000000"/>
          <w:kern w:val="28"/>
          <w:lang w:eastAsia="de-DE"/>
        </w:rPr>
        <w:t xml:space="preserve"> </w:t>
      </w:r>
      <w:proofErr w:type="spellStart"/>
      <w:r>
        <w:rPr>
          <w:rFonts w:ascii="Arial" w:eastAsia="Times New Roman" w:hAnsi="Arial" w:cs="Arial"/>
          <w:color w:val="000000"/>
          <w:kern w:val="28"/>
          <w:lang w:eastAsia="de-DE"/>
        </w:rPr>
        <w:t>meal-induced</w:t>
      </w:r>
      <w:proofErr w:type="spellEnd"/>
      <w:r>
        <w:rPr>
          <w:rFonts w:ascii="Arial" w:eastAsia="Times New Roman" w:hAnsi="Arial" w:cs="Arial"/>
          <w:color w:val="000000"/>
          <w:kern w:val="28"/>
          <w:lang w:eastAsia="de-DE"/>
        </w:rPr>
        <w:t xml:space="preserve"> </w:t>
      </w:r>
      <w:proofErr w:type="spellStart"/>
      <w:r>
        <w:rPr>
          <w:rFonts w:ascii="Arial" w:eastAsia="Times New Roman" w:hAnsi="Arial" w:cs="Arial"/>
          <w:color w:val="000000"/>
          <w:kern w:val="28"/>
          <w:lang w:eastAsia="de-DE"/>
        </w:rPr>
        <w:t>insulin</w:t>
      </w:r>
      <w:proofErr w:type="spellEnd"/>
      <w:r>
        <w:rPr>
          <w:rFonts w:ascii="Arial" w:eastAsia="Times New Roman" w:hAnsi="Arial" w:cs="Arial"/>
          <w:color w:val="000000"/>
          <w:kern w:val="28"/>
          <w:lang w:eastAsia="de-DE"/>
        </w:rPr>
        <w:t xml:space="preserve"> </w:t>
      </w:r>
      <w:proofErr w:type="spellStart"/>
      <w:r>
        <w:rPr>
          <w:rFonts w:ascii="Arial" w:eastAsia="Times New Roman" w:hAnsi="Arial" w:cs="Arial"/>
          <w:color w:val="000000"/>
          <w:kern w:val="28"/>
          <w:lang w:eastAsia="de-DE"/>
        </w:rPr>
        <w:t>secretion</w:t>
      </w:r>
      <w:proofErr w:type="spellEnd"/>
      <w:r>
        <w:rPr>
          <w:rFonts w:ascii="Arial" w:eastAsia="Times New Roman" w:hAnsi="Arial" w:cs="Arial"/>
          <w:color w:val="000000"/>
          <w:kern w:val="28"/>
          <w:lang w:eastAsia="de-DE"/>
        </w:rPr>
        <w:t xml:space="preserve"> </w:t>
      </w:r>
      <w:proofErr w:type="spellStart"/>
      <w:r>
        <w:rPr>
          <w:rFonts w:ascii="Arial" w:eastAsia="Times New Roman" w:hAnsi="Arial" w:cs="Arial"/>
          <w:color w:val="000000"/>
          <w:kern w:val="28"/>
          <w:lang w:eastAsia="de-DE"/>
        </w:rPr>
        <w:t>and</w:t>
      </w:r>
      <w:proofErr w:type="spellEnd"/>
      <w:r>
        <w:rPr>
          <w:rFonts w:ascii="Arial" w:eastAsia="Times New Roman" w:hAnsi="Arial" w:cs="Arial"/>
          <w:color w:val="000000"/>
          <w:kern w:val="28"/>
          <w:lang w:eastAsia="de-DE"/>
        </w:rPr>
        <w:t xml:space="preserve"> </w:t>
      </w:r>
      <w:proofErr w:type="spellStart"/>
      <w:r>
        <w:rPr>
          <w:rFonts w:ascii="Arial" w:eastAsia="Times New Roman" w:hAnsi="Arial" w:cs="Arial"/>
          <w:color w:val="000000"/>
          <w:kern w:val="28"/>
          <w:lang w:eastAsia="de-DE"/>
        </w:rPr>
        <w:t>modifies</w:t>
      </w:r>
      <w:proofErr w:type="spellEnd"/>
      <w:r>
        <w:rPr>
          <w:rFonts w:ascii="Arial" w:eastAsia="Times New Roman" w:hAnsi="Arial" w:cs="Arial"/>
          <w:color w:val="000000"/>
          <w:kern w:val="28"/>
          <w:lang w:eastAsia="de-DE"/>
        </w:rPr>
        <w:t xml:space="preserve"> </w:t>
      </w:r>
      <w:proofErr w:type="spellStart"/>
      <w:r>
        <w:rPr>
          <w:rFonts w:ascii="Arial" w:eastAsia="Times New Roman" w:hAnsi="Arial" w:cs="Arial"/>
          <w:color w:val="000000"/>
          <w:kern w:val="28"/>
          <w:lang w:eastAsia="de-DE"/>
        </w:rPr>
        <w:t>microbiome</w:t>
      </w:r>
      <w:proofErr w:type="spellEnd"/>
      <w:r>
        <w:rPr>
          <w:rFonts w:ascii="Arial" w:eastAsia="Times New Roman" w:hAnsi="Arial" w:cs="Arial"/>
          <w:color w:val="000000"/>
          <w:kern w:val="28"/>
          <w:lang w:eastAsia="de-DE"/>
        </w:rPr>
        <w:t xml:space="preserve"> </w:t>
      </w:r>
      <w:proofErr w:type="spellStart"/>
      <w:r>
        <w:rPr>
          <w:rFonts w:ascii="Arial" w:eastAsia="Times New Roman" w:hAnsi="Arial" w:cs="Arial"/>
          <w:color w:val="000000"/>
          <w:kern w:val="28"/>
          <w:lang w:eastAsia="de-DE"/>
        </w:rPr>
        <w:t>composition</w:t>
      </w:r>
      <w:proofErr w:type="spellEnd"/>
      <w:r>
        <w:rPr>
          <w:rFonts w:ascii="Arial" w:eastAsia="Times New Roman" w:hAnsi="Arial" w:cs="Arial"/>
          <w:color w:val="000000"/>
          <w:kern w:val="28"/>
          <w:lang w:eastAsia="de-DE"/>
        </w:rPr>
        <w:t xml:space="preserve"> in type 2 </w:t>
      </w:r>
      <w:proofErr w:type="spellStart"/>
      <w:r>
        <w:rPr>
          <w:rFonts w:ascii="Arial" w:eastAsia="Times New Roman" w:hAnsi="Arial" w:cs="Arial"/>
          <w:color w:val="000000"/>
          <w:kern w:val="28"/>
          <w:lang w:eastAsia="de-DE"/>
        </w:rPr>
        <w:t>diabetes</w:t>
      </w:r>
      <w:proofErr w:type="spellEnd"/>
      <w:r>
        <w:rPr>
          <w:rFonts w:ascii="Arial" w:eastAsia="Times New Roman" w:hAnsi="Arial" w:cs="Arial"/>
          <w:color w:val="000000"/>
          <w:kern w:val="28"/>
          <w:lang w:eastAsia="de-DE"/>
        </w:rPr>
        <w:t xml:space="preserve">: a </w:t>
      </w:r>
      <w:proofErr w:type="spellStart"/>
      <w:r>
        <w:rPr>
          <w:rFonts w:ascii="Arial" w:eastAsia="Times New Roman" w:hAnsi="Arial" w:cs="Arial"/>
          <w:color w:val="000000"/>
          <w:kern w:val="28"/>
          <w:lang w:eastAsia="de-DE"/>
        </w:rPr>
        <w:t>randomized</w:t>
      </w:r>
      <w:proofErr w:type="spellEnd"/>
      <w:r>
        <w:rPr>
          <w:rFonts w:ascii="Arial" w:eastAsia="Times New Roman" w:hAnsi="Arial" w:cs="Arial"/>
          <w:color w:val="000000"/>
          <w:kern w:val="28"/>
          <w:lang w:eastAsia="de-DE"/>
        </w:rPr>
        <w:t xml:space="preserve"> </w:t>
      </w:r>
      <w:proofErr w:type="spellStart"/>
      <w:r>
        <w:rPr>
          <w:rFonts w:ascii="Arial" w:eastAsia="Times New Roman" w:hAnsi="Arial" w:cs="Arial"/>
          <w:color w:val="000000"/>
          <w:kern w:val="28"/>
          <w:lang w:eastAsia="de-DE"/>
        </w:rPr>
        <w:t>controlled</w:t>
      </w:r>
      <w:proofErr w:type="spellEnd"/>
      <w:r>
        <w:rPr>
          <w:rFonts w:ascii="Arial" w:eastAsia="Times New Roman" w:hAnsi="Arial" w:cs="Arial"/>
          <w:color w:val="000000"/>
          <w:kern w:val="28"/>
          <w:lang w:eastAsia="de-DE"/>
        </w:rPr>
        <w:t xml:space="preserve"> </w:t>
      </w:r>
      <w:proofErr w:type="spellStart"/>
      <w:r>
        <w:rPr>
          <w:rFonts w:ascii="Arial" w:eastAsia="Times New Roman" w:hAnsi="Arial" w:cs="Arial"/>
          <w:color w:val="000000"/>
          <w:kern w:val="28"/>
          <w:lang w:eastAsia="de-DE"/>
        </w:rPr>
        <w:t>crossover</w:t>
      </w:r>
      <w:proofErr w:type="spellEnd"/>
      <w:r>
        <w:rPr>
          <w:rFonts w:ascii="Arial" w:eastAsia="Times New Roman" w:hAnsi="Arial" w:cs="Arial"/>
          <w:color w:val="000000"/>
          <w:kern w:val="28"/>
          <w:lang w:eastAsia="de-DE"/>
        </w:rPr>
        <w:t xml:space="preserve"> </w:t>
      </w:r>
      <w:proofErr w:type="spellStart"/>
      <w:r>
        <w:rPr>
          <w:rFonts w:ascii="Arial" w:eastAsia="Times New Roman" w:hAnsi="Arial" w:cs="Arial"/>
          <w:color w:val="000000"/>
          <w:kern w:val="28"/>
          <w:lang w:eastAsia="de-DE"/>
        </w:rPr>
        <w:t>trial</w:t>
      </w:r>
      <w:proofErr w:type="spellEnd"/>
      <w:r>
        <w:rPr>
          <w:rFonts w:ascii="Arial" w:eastAsia="Times New Roman" w:hAnsi="Arial" w:cs="Arial"/>
          <w:color w:val="000000"/>
          <w:kern w:val="28"/>
          <w:lang w:eastAsia="de-DE"/>
        </w:rPr>
        <w:t>“ verliehen. „Diese Auszeichnung ist nicht nur eine Anerkennung der Relevanz dieses Projektes, sondern im Besonderen auch der Förderung unserer Nachwuchskräfte“, erklärt Prof. Michael Roden, Wissenschaftlicher Direktor und Vorstand des DDZ. „Die vorliegenden Untersuchungen von Dr. Karusheva helfen, die Wirkung von bestimmten Nahrungsmitteln besser zu verstehen und können in Zukunft als Grundlage für neue Studien zu Lebensstilveränderungen als Ansatz für eine präzisere Diabetesbehandlung dienen.“</w:t>
      </w:r>
    </w:p>
    <w:p>
      <w:pPr>
        <w:widowControl w:val="0"/>
        <w:overflowPunct w:val="0"/>
        <w:autoSpaceDE w:val="0"/>
        <w:autoSpaceDN w:val="0"/>
        <w:adjustRightInd w:val="0"/>
        <w:spacing w:after="0"/>
        <w:rPr>
          <w:rFonts w:ascii="Arial" w:eastAsia="Times New Roman" w:hAnsi="Arial" w:cs="Arial"/>
          <w:color w:val="000000"/>
          <w:kern w:val="28"/>
          <w:lang w:eastAsia="de-DE"/>
        </w:rPr>
      </w:pPr>
    </w:p>
    <w:p>
      <w:pPr>
        <w:widowControl w:val="0"/>
        <w:overflowPunct w:val="0"/>
        <w:autoSpaceDE w:val="0"/>
        <w:autoSpaceDN w:val="0"/>
        <w:adjustRightInd w:val="0"/>
        <w:spacing w:after="0"/>
        <w:rPr>
          <w:rFonts w:ascii="Arial" w:eastAsia="Times New Roman" w:hAnsi="Arial" w:cs="Arial"/>
          <w:color w:val="000000"/>
          <w:kern w:val="28"/>
          <w:lang w:eastAsia="de-DE"/>
        </w:rPr>
      </w:pPr>
      <w:r>
        <w:rPr>
          <w:rFonts w:ascii="Arial" w:eastAsia="Times New Roman" w:hAnsi="Arial" w:cs="Arial"/>
          <w:color w:val="000000"/>
          <w:kern w:val="28"/>
          <w:lang w:eastAsia="de-DE"/>
        </w:rPr>
        <w:t xml:space="preserve">Im Rahmen ihrer ausgezeichneten Arbeit untersuchte Dr. Karusheva klinisch-experimentell den Einfluss </w:t>
      </w:r>
      <w:proofErr w:type="spellStart"/>
      <w:r>
        <w:rPr>
          <w:rFonts w:ascii="Arial" w:eastAsia="Times New Roman" w:hAnsi="Arial" w:cs="Arial"/>
          <w:color w:val="000000"/>
          <w:kern w:val="28"/>
          <w:lang w:eastAsia="de-DE"/>
        </w:rPr>
        <w:t>verzweigtkettiger</w:t>
      </w:r>
      <w:proofErr w:type="spellEnd"/>
      <w:r>
        <w:rPr>
          <w:rFonts w:ascii="Arial" w:eastAsia="Times New Roman" w:hAnsi="Arial" w:cs="Arial"/>
          <w:color w:val="000000"/>
          <w:kern w:val="28"/>
          <w:lang w:eastAsia="de-DE"/>
        </w:rPr>
        <w:t xml:space="preserve"> Aminosäuren auf den Glukosestoffwechsel im Typ-2-Diabetes. Das Ziel war es, den Effekt einer vierwöchigen diätetischen Intervention (Veränderung der Einnahme an </w:t>
      </w:r>
      <w:proofErr w:type="spellStart"/>
      <w:r>
        <w:rPr>
          <w:rFonts w:ascii="Arial" w:eastAsia="Times New Roman" w:hAnsi="Arial" w:cs="Arial"/>
          <w:color w:val="000000"/>
          <w:kern w:val="28"/>
          <w:lang w:eastAsia="de-DE"/>
        </w:rPr>
        <w:t>verzweigtkettigen</w:t>
      </w:r>
      <w:proofErr w:type="spellEnd"/>
      <w:r>
        <w:rPr>
          <w:rFonts w:ascii="Arial" w:eastAsia="Times New Roman" w:hAnsi="Arial" w:cs="Arial"/>
          <w:color w:val="000000"/>
          <w:kern w:val="28"/>
          <w:lang w:eastAsia="de-DE"/>
        </w:rPr>
        <w:t xml:space="preserve"> Aminosäuren) auf die Insulinsensitivität und Insulinsekretion – unter Berücksichtigung der Zusammensetzung des Darmmikrobioms – bei Menschen mit Typ-2-Diabetes aufzuklären. Dabei beschrieb sie, wie die Reduktion der </w:t>
      </w:r>
      <w:proofErr w:type="spellStart"/>
      <w:r>
        <w:rPr>
          <w:rFonts w:ascii="Arial" w:eastAsia="Times New Roman" w:hAnsi="Arial" w:cs="Arial"/>
          <w:color w:val="000000"/>
          <w:kern w:val="28"/>
          <w:lang w:eastAsia="de-DE"/>
        </w:rPr>
        <w:t>verzweigtkettigen</w:t>
      </w:r>
      <w:proofErr w:type="spellEnd"/>
      <w:r>
        <w:rPr>
          <w:rFonts w:ascii="Arial" w:eastAsia="Times New Roman" w:hAnsi="Arial" w:cs="Arial"/>
          <w:color w:val="000000"/>
          <w:kern w:val="28"/>
          <w:lang w:eastAsia="de-DE"/>
        </w:rPr>
        <w:t xml:space="preserve"> Aminosäuren in der Nahrung zwar die Insulinwirkung erhöht, aber Insulinfreisetzung nach der Mahlzeit senkt. Desweitern verbesserte sich nach nur sieben Tagen im Fettgewebe die Funktion der Mitochondrien, der Kraftwerke der Fettzellen.</w:t>
      </w:r>
    </w:p>
    <w:p>
      <w:pPr>
        <w:widowControl w:val="0"/>
        <w:overflowPunct w:val="0"/>
        <w:autoSpaceDE w:val="0"/>
        <w:autoSpaceDN w:val="0"/>
        <w:adjustRightInd w:val="0"/>
        <w:spacing w:after="0"/>
        <w:rPr>
          <w:rFonts w:ascii="Arial" w:eastAsia="Times New Roman" w:hAnsi="Arial" w:cs="Arial"/>
          <w:color w:val="000000"/>
          <w:kern w:val="28"/>
          <w:lang w:eastAsia="de-DE"/>
        </w:rPr>
      </w:pPr>
    </w:p>
    <w:p>
      <w:pPr>
        <w:widowControl w:val="0"/>
        <w:overflowPunct w:val="0"/>
        <w:autoSpaceDE w:val="0"/>
        <w:autoSpaceDN w:val="0"/>
        <w:adjustRightInd w:val="0"/>
        <w:spacing w:after="0"/>
        <w:rPr>
          <w:rFonts w:ascii="Arial" w:eastAsia="Times New Roman" w:hAnsi="Arial" w:cs="Arial"/>
          <w:color w:val="000000"/>
          <w:kern w:val="28"/>
          <w:lang w:eastAsia="de-DE"/>
        </w:rPr>
      </w:pPr>
      <w:r>
        <w:rPr>
          <w:rFonts w:ascii="Arial" w:eastAsia="Times New Roman" w:hAnsi="Arial" w:cs="Arial"/>
          <w:color w:val="000000"/>
          <w:kern w:val="28"/>
          <w:lang w:eastAsia="de-DE"/>
        </w:rPr>
        <w:t xml:space="preserve">Die Studie war zuvor bereits mit einer Projektförderung der Deutschen Diabetes Gesellschaft im Jahr 2018 ausgezeichnet worden und ist im </w:t>
      </w:r>
      <w:r>
        <w:rPr>
          <w:rFonts w:ascii="Arial" w:eastAsia="Times New Roman" w:hAnsi="Arial" w:cs="Arial"/>
          <w:i/>
          <w:color w:val="000000"/>
          <w:kern w:val="28"/>
          <w:lang w:eastAsia="de-DE"/>
        </w:rPr>
        <w:t xml:space="preserve">American Journal </w:t>
      </w:r>
      <w:proofErr w:type="spellStart"/>
      <w:r>
        <w:rPr>
          <w:rFonts w:ascii="Arial" w:eastAsia="Times New Roman" w:hAnsi="Arial" w:cs="Arial"/>
          <w:i/>
          <w:color w:val="000000"/>
          <w:kern w:val="28"/>
          <w:lang w:eastAsia="de-DE"/>
        </w:rPr>
        <w:t>of</w:t>
      </w:r>
      <w:proofErr w:type="spellEnd"/>
      <w:r>
        <w:rPr>
          <w:rFonts w:ascii="Arial" w:eastAsia="Times New Roman" w:hAnsi="Arial" w:cs="Arial"/>
          <w:i/>
          <w:color w:val="000000"/>
          <w:kern w:val="28"/>
          <w:lang w:eastAsia="de-DE"/>
        </w:rPr>
        <w:t xml:space="preserve"> Clinical Nutrition</w:t>
      </w:r>
      <w:r>
        <w:rPr>
          <w:rFonts w:ascii="Arial" w:eastAsia="Times New Roman" w:hAnsi="Arial" w:cs="Arial"/>
          <w:color w:val="000000"/>
          <w:kern w:val="28"/>
          <w:lang w:eastAsia="de-DE"/>
        </w:rPr>
        <w:t xml:space="preserve"> erschienen. Die Preisverleihung fand digital im Rahmen des 58. Wissenschaftlichen DGE-Kongresses am 17. Februar 2021 statt. Nach einleitenden Worten durch den Vizepräsidenten der DGE, Prof. Bernhard </w:t>
      </w:r>
      <w:proofErr w:type="spellStart"/>
      <w:r>
        <w:rPr>
          <w:rFonts w:ascii="Arial" w:eastAsia="Times New Roman" w:hAnsi="Arial" w:cs="Arial"/>
          <w:color w:val="000000"/>
          <w:kern w:val="28"/>
          <w:lang w:eastAsia="de-DE"/>
        </w:rPr>
        <w:t>Watzl</w:t>
      </w:r>
      <w:proofErr w:type="spellEnd"/>
      <w:r>
        <w:rPr>
          <w:rFonts w:ascii="Arial" w:eastAsia="Times New Roman" w:hAnsi="Arial" w:cs="Arial"/>
          <w:color w:val="000000"/>
          <w:kern w:val="28"/>
          <w:lang w:eastAsia="de-DE"/>
        </w:rPr>
        <w:t xml:space="preserve">, bedankte sich Dr. Karusheva in ihrer Rede für die jahrelange Unterstützung durch ihr Team und präsentierte die wesentlichen Ergebnisse ihrer Arbeit. </w:t>
      </w:r>
    </w:p>
    <w:p>
      <w:pPr>
        <w:widowControl w:val="0"/>
        <w:overflowPunct w:val="0"/>
        <w:autoSpaceDE w:val="0"/>
        <w:autoSpaceDN w:val="0"/>
        <w:adjustRightInd w:val="0"/>
        <w:spacing w:after="0"/>
        <w:rPr>
          <w:rFonts w:ascii="Arial" w:eastAsia="Times New Roman" w:hAnsi="Arial" w:cs="Arial"/>
          <w:color w:val="000000"/>
          <w:kern w:val="28"/>
          <w:lang w:eastAsia="de-DE"/>
        </w:rPr>
      </w:pPr>
    </w:p>
    <w:p>
      <w:pPr>
        <w:widowControl w:val="0"/>
        <w:overflowPunct w:val="0"/>
        <w:autoSpaceDE w:val="0"/>
        <w:autoSpaceDN w:val="0"/>
        <w:adjustRightInd w:val="0"/>
        <w:spacing w:after="0"/>
        <w:rPr>
          <w:rFonts w:ascii="Arial" w:eastAsia="Times New Roman" w:hAnsi="Arial" w:cs="Arial"/>
          <w:b/>
          <w:color w:val="000000"/>
          <w:kern w:val="28"/>
          <w:lang w:eastAsia="de-DE"/>
        </w:rPr>
      </w:pPr>
      <w:r>
        <w:rPr>
          <w:rFonts w:ascii="Arial" w:eastAsia="Times New Roman" w:hAnsi="Arial" w:cs="Arial"/>
          <w:b/>
          <w:color w:val="000000"/>
          <w:kern w:val="28"/>
          <w:lang w:eastAsia="de-DE"/>
        </w:rPr>
        <w:t xml:space="preserve">Originalpublikation: </w:t>
      </w:r>
    </w:p>
    <w:p>
      <w:pPr>
        <w:widowControl w:val="0"/>
        <w:overflowPunct w:val="0"/>
        <w:autoSpaceDE w:val="0"/>
        <w:autoSpaceDN w:val="0"/>
        <w:adjustRightInd w:val="0"/>
        <w:spacing w:after="0"/>
        <w:rPr>
          <w:rFonts w:ascii="Arial" w:eastAsia="Times New Roman" w:hAnsi="Arial" w:cs="Arial"/>
          <w:color w:val="000000"/>
          <w:kern w:val="28"/>
          <w:lang w:eastAsia="de-DE"/>
        </w:rPr>
      </w:pPr>
    </w:p>
    <w:p>
      <w:pPr>
        <w:widowControl w:val="0"/>
        <w:overflowPunct w:val="0"/>
        <w:autoSpaceDE w:val="0"/>
        <w:autoSpaceDN w:val="0"/>
        <w:adjustRightInd w:val="0"/>
        <w:spacing w:after="0"/>
        <w:rPr>
          <w:rFonts w:ascii="Arial" w:eastAsia="Times New Roman" w:hAnsi="Arial" w:cs="Arial"/>
          <w:color w:val="000000"/>
          <w:kern w:val="28"/>
          <w:lang w:eastAsia="de-DE"/>
        </w:rPr>
      </w:pPr>
      <w:proofErr w:type="spellStart"/>
      <w:r>
        <w:rPr>
          <w:rFonts w:ascii="Arial" w:eastAsia="Times New Roman" w:hAnsi="Arial" w:cs="Arial"/>
          <w:bCs/>
          <w:color w:val="000000"/>
          <w:kern w:val="28"/>
          <w:lang w:eastAsia="de-DE"/>
        </w:rPr>
        <w:t>Karusheva</w:t>
      </w:r>
      <w:proofErr w:type="spellEnd"/>
      <w:r>
        <w:rPr>
          <w:rFonts w:ascii="Arial" w:eastAsia="Times New Roman" w:hAnsi="Arial" w:cs="Arial"/>
          <w:bCs/>
          <w:color w:val="000000"/>
          <w:kern w:val="28"/>
          <w:lang w:eastAsia="de-DE"/>
        </w:rPr>
        <w:t xml:space="preserve"> Y</w:t>
      </w:r>
      <w:r>
        <w:rPr>
          <w:rFonts w:ascii="Arial" w:eastAsia="Times New Roman" w:hAnsi="Arial" w:cs="Arial"/>
          <w:color w:val="000000"/>
          <w:kern w:val="28"/>
          <w:lang w:eastAsia="de-DE"/>
        </w:rPr>
        <w:t xml:space="preserve">, </w:t>
      </w:r>
      <w:proofErr w:type="spellStart"/>
      <w:r>
        <w:rPr>
          <w:rFonts w:ascii="Arial" w:eastAsia="Times New Roman" w:hAnsi="Arial" w:cs="Arial"/>
          <w:color w:val="000000"/>
          <w:kern w:val="28"/>
          <w:lang w:eastAsia="de-DE"/>
        </w:rPr>
        <w:t>Koessler</w:t>
      </w:r>
      <w:proofErr w:type="spellEnd"/>
      <w:r>
        <w:rPr>
          <w:rFonts w:ascii="Arial" w:eastAsia="Times New Roman" w:hAnsi="Arial" w:cs="Arial"/>
          <w:color w:val="000000"/>
          <w:kern w:val="28"/>
          <w:lang w:eastAsia="de-DE"/>
        </w:rPr>
        <w:t xml:space="preserve"> T, </w:t>
      </w:r>
      <w:proofErr w:type="spellStart"/>
      <w:r>
        <w:rPr>
          <w:rFonts w:ascii="Arial" w:eastAsia="Times New Roman" w:hAnsi="Arial" w:cs="Arial"/>
          <w:color w:val="000000"/>
          <w:kern w:val="28"/>
          <w:lang w:eastAsia="de-DE"/>
        </w:rPr>
        <w:t>Strassburger</w:t>
      </w:r>
      <w:proofErr w:type="spellEnd"/>
      <w:r>
        <w:rPr>
          <w:rFonts w:ascii="Arial" w:eastAsia="Times New Roman" w:hAnsi="Arial" w:cs="Arial"/>
          <w:color w:val="000000"/>
          <w:kern w:val="28"/>
          <w:lang w:eastAsia="de-DE"/>
        </w:rPr>
        <w:t xml:space="preserve"> K, Markgraf D, </w:t>
      </w:r>
      <w:proofErr w:type="spellStart"/>
      <w:r>
        <w:rPr>
          <w:rFonts w:ascii="Arial" w:eastAsia="Times New Roman" w:hAnsi="Arial" w:cs="Arial"/>
          <w:color w:val="000000"/>
          <w:kern w:val="28"/>
          <w:lang w:eastAsia="de-DE"/>
        </w:rPr>
        <w:t>Mastrototaro</w:t>
      </w:r>
      <w:proofErr w:type="spellEnd"/>
      <w:r>
        <w:rPr>
          <w:rFonts w:ascii="Arial" w:eastAsia="Times New Roman" w:hAnsi="Arial" w:cs="Arial"/>
          <w:color w:val="000000"/>
          <w:kern w:val="28"/>
          <w:lang w:eastAsia="de-DE"/>
        </w:rPr>
        <w:t xml:space="preserve"> L, </w:t>
      </w:r>
      <w:proofErr w:type="spellStart"/>
      <w:r>
        <w:rPr>
          <w:rFonts w:ascii="Arial" w:eastAsia="Times New Roman" w:hAnsi="Arial" w:cs="Arial"/>
          <w:color w:val="000000"/>
          <w:kern w:val="28"/>
          <w:lang w:eastAsia="de-DE"/>
        </w:rPr>
        <w:t>Jelenik</w:t>
      </w:r>
      <w:proofErr w:type="spellEnd"/>
      <w:r>
        <w:rPr>
          <w:rFonts w:ascii="Arial" w:eastAsia="Times New Roman" w:hAnsi="Arial" w:cs="Arial"/>
          <w:color w:val="000000"/>
          <w:kern w:val="28"/>
          <w:lang w:eastAsia="de-DE"/>
        </w:rPr>
        <w:t xml:space="preserve"> T, Simon MC, </w:t>
      </w:r>
      <w:proofErr w:type="spellStart"/>
      <w:r>
        <w:rPr>
          <w:rFonts w:ascii="Arial" w:eastAsia="Times New Roman" w:hAnsi="Arial" w:cs="Arial"/>
          <w:color w:val="000000"/>
          <w:kern w:val="28"/>
          <w:lang w:eastAsia="de-DE"/>
        </w:rPr>
        <w:t>Pesta</w:t>
      </w:r>
      <w:proofErr w:type="spellEnd"/>
      <w:r>
        <w:rPr>
          <w:rFonts w:ascii="Arial" w:eastAsia="Times New Roman" w:hAnsi="Arial" w:cs="Arial"/>
          <w:color w:val="000000"/>
          <w:kern w:val="28"/>
          <w:lang w:eastAsia="de-DE"/>
        </w:rPr>
        <w:t xml:space="preserve"> D, </w:t>
      </w:r>
      <w:proofErr w:type="spellStart"/>
      <w:r>
        <w:rPr>
          <w:rFonts w:ascii="Arial" w:eastAsia="Times New Roman" w:hAnsi="Arial" w:cs="Arial"/>
          <w:color w:val="000000"/>
          <w:kern w:val="28"/>
          <w:lang w:eastAsia="de-DE"/>
        </w:rPr>
        <w:t>Zaharia</w:t>
      </w:r>
      <w:proofErr w:type="spellEnd"/>
      <w:r>
        <w:rPr>
          <w:rFonts w:ascii="Arial" w:eastAsia="Times New Roman" w:hAnsi="Arial" w:cs="Arial"/>
          <w:color w:val="000000"/>
          <w:kern w:val="28"/>
          <w:lang w:eastAsia="de-DE"/>
        </w:rPr>
        <w:t xml:space="preserve"> OP, </w:t>
      </w:r>
      <w:proofErr w:type="spellStart"/>
      <w:r>
        <w:rPr>
          <w:rFonts w:ascii="Arial" w:eastAsia="Times New Roman" w:hAnsi="Arial" w:cs="Arial"/>
          <w:color w:val="000000"/>
          <w:kern w:val="28"/>
          <w:lang w:eastAsia="de-DE"/>
        </w:rPr>
        <w:t>Bódis</w:t>
      </w:r>
      <w:proofErr w:type="spellEnd"/>
      <w:r>
        <w:rPr>
          <w:rFonts w:ascii="Arial" w:eastAsia="Times New Roman" w:hAnsi="Arial" w:cs="Arial"/>
          <w:color w:val="000000"/>
          <w:kern w:val="28"/>
          <w:lang w:eastAsia="de-DE"/>
        </w:rPr>
        <w:t xml:space="preserve"> K, </w:t>
      </w:r>
      <w:proofErr w:type="spellStart"/>
      <w:r>
        <w:rPr>
          <w:rFonts w:ascii="Arial" w:eastAsia="Times New Roman" w:hAnsi="Arial" w:cs="Arial"/>
          <w:color w:val="000000"/>
          <w:kern w:val="28"/>
          <w:lang w:eastAsia="de-DE"/>
        </w:rPr>
        <w:t>Bärenz</w:t>
      </w:r>
      <w:proofErr w:type="spellEnd"/>
      <w:r>
        <w:rPr>
          <w:rFonts w:ascii="Arial" w:eastAsia="Times New Roman" w:hAnsi="Arial" w:cs="Arial"/>
          <w:color w:val="000000"/>
          <w:kern w:val="28"/>
          <w:lang w:eastAsia="de-DE"/>
        </w:rPr>
        <w:t xml:space="preserve"> F, Schmoll D, </w:t>
      </w:r>
      <w:proofErr w:type="spellStart"/>
      <w:r>
        <w:rPr>
          <w:rFonts w:ascii="Arial" w:eastAsia="Times New Roman" w:hAnsi="Arial" w:cs="Arial"/>
          <w:color w:val="000000"/>
          <w:kern w:val="28"/>
          <w:lang w:eastAsia="de-DE"/>
        </w:rPr>
        <w:t>Wolkersdorfer</w:t>
      </w:r>
      <w:proofErr w:type="spellEnd"/>
      <w:r>
        <w:rPr>
          <w:rFonts w:ascii="Arial" w:eastAsia="Times New Roman" w:hAnsi="Arial" w:cs="Arial"/>
          <w:color w:val="000000"/>
          <w:kern w:val="28"/>
          <w:lang w:eastAsia="de-DE"/>
        </w:rPr>
        <w:t xml:space="preserve"> M, </w:t>
      </w:r>
      <w:proofErr w:type="spellStart"/>
      <w:r>
        <w:rPr>
          <w:rFonts w:ascii="Arial" w:eastAsia="Times New Roman" w:hAnsi="Arial" w:cs="Arial"/>
          <w:color w:val="000000"/>
          <w:kern w:val="28"/>
          <w:lang w:eastAsia="de-DE"/>
        </w:rPr>
        <w:t>Tura</w:t>
      </w:r>
      <w:proofErr w:type="spellEnd"/>
      <w:r>
        <w:rPr>
          <w:rFonts w:ascii="Arial" w:eastAsia="Times New Roman" w:hAnsi="Arial" w:cs="Arial"/>
          <w:color w:val="000000"/>
          <w:kern w:val="28"/>
          <w:lang w:eastAsia="de-DE"/>
        </w:rPr>
        <w:t xml:space="preserve"> A, </w:t>
      </w:r>
      <w:proofErr w:type="spellStart"/>
      <w:r>
        <w:rPr>
          <w:rFonts w:ascii="Arial" w:eastAsia="Times New Roman" w:hAnsi="Arial" w:cs="Arial"/>
          <w:color w:val="000000"/>
          <w:kern w:val="28"/>
          <w:lang w:eastAsia="de-DE"/>
        </w:rPr>
        <w:t>Pacini</w:t>
      </w:r>
      <w:proofErr w:type="spellEnd"/>
      <w:r>
        <w:rPr>
          <w:rFonts w:ascii="Arial" w:eastAsia="Times New Roman" w:hAnsi="Arial" w:cs="Arial"/>
          <w:color w:val="000000"/>
          <w:kern w:val="28"/>
          <w:lang w:eastAsia="de-DE"/>
        </w:rPr>
        <w:t xml:space="preserve"> G, Burkart V, </w:t>
      </w:r>
      <w:proofErr w:type="spellStart"/>
      <w:r>
        <w:rPr>
          <w:rFonts w:ascii="Arial" w:eastAsia="Times New Roman" w:hAnsi="Arial" w:cs="Arial"/>
          <w:color w:val="000000"/>
          <w:kern w:val="28"/>
          <w:lang w:eastAsia="de-DE"/>
        </w:rPr>
        <w:t>Müssig</w:t>
      </w:r>
      <w:proofErr w:type="spellEnd"/>
      <w:r>
        <w:rPr>
          <w:rFonts w:ascii="Arial" w:eastAsia="Times New Roman" w:hAnsi="Arial" w:cs="Arial"/>
          <w:color w:val="000000"/>
          <w:kern w:val="28"/>
          <w:lang w:eastAsia="de-DE"/>
        </w:rPr>
        <w:t xml:space="preserve"> K, </w:t>
      </w:r>
      <w:proofErr w:type="spellStart"/>
      <w:r>
        <w:rPr>
          <w:rFonts w:ascii="Arial" w:eastAsia="Times New Roman" w:hAnsi="Arial" w:cs="Arial"/>
          <w:color w:val="000000"/>
          <w:kern w:val="28"/>
          <w:lang w:eastAsia="de-DE"/>
        </w:rPr>
        <w:t>Szendroedi</w:t>
      </w:r>
      <w:proofErr w:type="spellEnd"/>
      <w:r>
        <w:rPr>
          <w:rFonts w:ascii="Arial" w:eastAsia="Times New Roman" w:hAnsi="Arial" w:cs="Arial"/>
          <w:color w:val="000000"/>
          <w:kern w:val="28"/>
          <w:lang w:eastAsia="de-DE"/>
        </w:rPr>
        <w:t xml:space="preserve"> J, Roden M. </w:t>
      </w:r>
      <w:hyperlink r:id="rId7" w:history="1">
        <w:r>
          <w:rPr>
            <w:rStyle w:val="Hyperlink"/>
            <w:rFonts w:ascii="Arial" w:eastAsia="Times New Roman" w:hAnsi="Arial" w:cs="Arial"/>
            <w:kern w:val="28"/>
            <w:lang w:val="en-GB" w:eastAsia="de-DE"/>
          </w:rPr>
          <w:t xml:space="preserve">Short-term dietary reduction of branched-chain </w:t>
        </w:r>
        <w:r>
          <w:rPr>
            <w:rStyle w:val="Hyperlink"/>
            <w:rFonts w:ascii="Arial" w:eastAsia="Times New Roman" w:hAnsi="Arial" w:cs="Arial"/>
            <w:kern w:val="28"/>
            <w:lang w:val="en-GB" w:eastAsia="de-DE"/>
          </w:rPr>
          <w:lastRenderedPageBreak/>
          <w:t>amino acids reduces meal-induced insulin secretion and modifies microbiome composition in type 2 diabetes: a randomized controlled crossover trial.</w:t>
        </w:r>
      </w:hyperlink>
      <w:r>
        <w:rPr>
          <w:rFonts w:ascii="Arial" w:eastAsia="Times New Roman" w:hAnsi="Arial" w:cs="Arial"/>
          <w:color w:val="000000"/>
          <w:kern w:val="28"/>
          <w:lang w:val="en-GB" w:eastAsia="de-DE"/>
        </w:rPr>
        <w:t xml:space="preserve"> </w:t>
      </w:r>
      <w:r>
        <w:rPr>
          <w:rFonts w:ascii="Arial" w:eastAsia="Times New Roman" w:hAnsi="Arial" w:cs="Arial"/>
          <w:color w:val="000000"/>
          <w:kern w:val="28"/>
          <w:lang w:eastAsia="de-DE"/>
        </w:rPr>
        <w:t xml:space="preserve">Am J </w:t>
      </w:r>
      <w:proofErr w:type="spellStart"/>
      <w:r>
        <w:rPr>
          <w:rFonts w:ascii="Arial" w:eastAsia="Times New Roman" w:hAnsi="Arial" w:cs="Arial"/>
          <w:color w:val="000000"/>
          <w:kern w:val="28"/>
          <w:lang w:eastAsia="de-DE"/>
        </w:rPr>
        <w:t>Clin</w:t>
      </w:r>
      <w:proofErr w:type="spellEnd"/>
      <w:r>
        <w:rPr>
          <w:rFonts w:ascii="Arial" w:eastAsia="Times New Roman" w:hAnsi="Arial" w:cs="Arial"/>
          <w:color w:val="000000"/>
          <w:kern w:val="28"/>
          <w:lang w:eastAsia="de-DE"/>
        </w:rPr>
        <w:t xml:space="preserve"> </w:t>
      </w:r>
      <w:proofErr w:type="spellStart"/>
      <w:r>
        <w:rPr>
          <w:rFonts w:ascii="Arial" w:eastAsia="Times New Roman" w:hAnsi="Arial" w:cs="Arial"/>
          <w:color w:val="000000"/>
          <w:kern w:val="28"/>
          <w:lang w:eastAsia="de-DE"/>
        </w:rPr>
        <w:t>Nutr</w:t>
      </w:r>
      <w:proofErr w:type="spellEnd"/>
      <w:r>
        <w:rPr>
          <w:rFonts w:ascii="Arial" w:eastAsia="Times New Roman" w:hAnsi="Arial" w:cs="Arial"/>
          <w:color w:val="000000"/>
          <w:kern w:val="28"/>
          <w:lang w:eastAsia="de-DE"/>
        </w:rPr>
        <w:t xml:space="preserve">. 2019;110(5):1098-1107. </w:t>
      </w:r>
      <w:proofErr w:type="spellStart"/>
      <w:r>
        <w:rPr>
          <w:rFonts w:ascii="Arial" w:eastAsia="Times New Roman" w:hAnsi="Arial" w:cs="Arial"/>
          <w:color w:val="000000"/>
          <w:kern w:val="28"/>
          <w:lang w:eastAsia="de-DE"/>
        </w:rPr>
        <w:t>doi</w:t>
      </w:r>
      <w:proofErr w:type="spellEnd"/>
      <w:r>
        <w:rPr>
          <w:rFonts w:ascii="Arial" w:eastAsia="Times New Roman" w:hAnsi="Arial" w:cs="Arial"/>
          <w:color w:val="000000"/>
          <w:kern w:val="28"/>
          <w:lang w:eastAsia="de-DE"/>
        </w:rPr>
        <w:t>: 10.1093/</w:t>
      </w:r>
      <w:proofErr w:type="spellStart"/>
      <w:r>
        <w:rPr>
          <w:rFonts w:ascii="Arial" w:eastAsia="Times New Roman" w:hAnsi="Arial" w:cs="Arial"/>
          <w:color w:val="000000"/>
          <w:kern w:val="28"/>
          <w:lang w:eastAsia="de-DE"/>
        </w:rPr>
        <w:t>ajcn</w:t>
      </w:r>
      <w:proofErr w:type="spellEnd"/>
      <w:r>
        <w:rPr>
          <w:rFonts w:ascii="Arial" w:eastAsia="Times New Roman" w:hAnsi="Arial" w:cs="Arial"/>
          <w:color w:val="000000"/>
          <w:kern w:val="28"/>
          <w:lang w:eastAsia="de-DE"/>
        </w:rPr>
        <w:t>/nqz191.</w:t>
      </w:r>
    </w:p>
    <w:p>
      <w:pPr>
        <w:widowControl w:val="0"/>
        <w:overflowPunct w:val="0"/>
        <w:autoSpaceDE w:val="0"/>
        <w:autoSpaceDN w:val="0"/>
        <w:adjustRightInd w:val="0"/>
        <w:spacing w:after="0"/>
        <w:rPr>
          <w:rFonts w:ascii="Arial" w:eastAsia="Times New Roman" w:hAnsi="Arial" w:cs="Arial"/>
          <w:color w:val="000000"/>
          <w:kern w:val="28"/>
          <w:lang w:eastAsia="de-DE"/>
        </w:rPr>
      </w:pPr>
    </w:p>
    <w:p>
      <w:pPr>
        <w:widowControl w:val="0"/>
        <w:overflowPunct w:val="0"/>
        <w:autoSpaceDE w:val="0"/>
        <w:autoSpaceDN w:val="0"/>
        <w:adjustRightInd w:val="0"/>
        <w:spacing w:after="0"/>
        <w:rPr>
          <w:rFonts w:ascii="Arial" w:eastAsia="Times New Roman" w:hAnsi="Arial" w:cs="Arial"/>
          <w:color w:val="000000"/>
          <w:kern w:val="28"/>
          <w:lang w:eastAsia="de-DE"/>
        </w:rPr>
      </w:pPr>
      <w:r>
        <w:rPr>
          <w:rFonts w:ascii="Arial" w:eastAsia="Times New Roman" w:hAnsi="Arial" w:cs="Arial"/>
          <w:color w:val="000000"/>
          <w:kern w:val="28"/>
          <w:lang w:eastAsia="de-DE"/>
        </w:rPr>
        <w:t>Das Deutsche Diabetes-Zentrum (DDZ) versteht sich als deutsches Referenzzentrum zum Krankheitsbild Diabetes. Ziel ist es, einen Beitrag zur Verbesserung von Prävention, Früherkennung, Diagnostik und Therapie des Diabetes mellitus zu leisten. Gleichzeitig soll die epidemiologische Datenlage in Deutschland verbessert werden. Federführend leitet das DDZ die multizentrisch aufgebaute Deutsche Diabetes-Studie. Es ist Ansprechpartner für alle Akteure im Gesundheitswesen, bereitet wissenschaftliche Informationen zum Diabetes mellitus auf und stellt sie der Öffentlichkeit zur Verfügung. Das DDZ gehört der „Wissenschaftsgemeinschaft Gottfried Wilhelm Leibniz“ (WGL) an und ist Partner im Deutschen Zentrum für Diabetesforschung (DZD e.V.).</w:t>
      </w:r>
    </w:p>
    <w:p>
      <w:pPr>
        <w:widowControl w:val="0"/>
        <w:overflowPunct w:val="0"/>
        <w:autoSpaceDE w:val="0"/>
        <w:autoSpaceDN w:val="0"/>
        <w:adjustRightInd w:val="0"/>
        <w:spacing w:after="0"/>
        <w:rPr>
          <w:rFonts w:ascii="Arial" w:eastAsia="Times New Roman" w:hAnsi="Arial" w:cs="Arial"/>
          <w:color w:val="000000"/>
          <w:kern w:val="28"/>
          <w:lang w:eastAsia="de-DE"/>
        </w:rPr>
      </w:pPr>
    </w:p>
    <w:p>
      <w:pPr>
        <w:spacing w:after="0"/>
        <w:jc w:val="both"/>
        <w:rPr>
          <w:rFonts w:ascii="Arial" w:hAnsi="Arial" w:cs="Arial"/>
          <w:b/>
          <w:sz w:val="18"/>
          <w:szCs w:val="18"/>
        </w:rPr>
      </w:pPr>
      <w:r>
        <w:rPr>
          <w:rFonts w:ascii="Arial" w:hAnsi="Arial" w:cs="Arial"/>
          <w:b/>
          <w:sz w:val="18"/>
          <w:szCs w:val="18"/>
        </w:rPr>
        <w:t xml:space="preserve">Aktuelle Pressemitteilungen des DDZ finden Sie im Internet unter </w:t>
      </w:r>
      <w:hyperlink r:id="rId8" w:history="1">
        <w:r>
          <w:rPr>
            <w:rStyle w:val="Hyperlink"/>
            <w:rFonts w:ascii="Arial" w:hAnsi="Arial" w:cs="Arial"/>
            <w:b/>
            <w:sz w:val="18"/>
            <w:szCs w:val="18"/>
          </w:rPr>
          <w:t>http://www.ddz.de/</w:t>
        </w:r>
      </w:hyperlink>
      <w:r>
        <w:rPr>
          <w:rFonts w:ascii="Arial" w:hAnsi="Arial" w:cs="Arial"/>
          <w:b/>
          <w:sz w:val="18"/>
          <w:szCs w:val="18"/>
        </w:rPr>
        <w:t xml:space="preserve"> </w:t>
      </w:r>
    </w:p>
    <w:p>
      <w:pPr>
        <w:spacing w:after="0"/>
        <w:jc w:val="both"/>
        <w:rPr>
          <w:rFonts w:ascii="Arial" w:hAnsi="Arial" w:cs="Arial"/>
          <w:b/>
          <w:sz w:val="18"/>
          <w:szCs w:val="18"/>
        </w:rPr>
      </w:pPr>
    </w:p>
    <w:p>
      <w:pPr>
        <w:spacing w:after="0"/>
        <w:jc w:val="both"/>
        <w:rPr>
          <w:rFonts w:ascii="Arial" w:hAnsi="Arial" w:cs="Arial"/>
          <w:b/>
          <w:sz w:val="18"/>
          <w:szCs w:val="18"/>
        </w:rPr>
      </w:pPr>
      <w:r>
        <w:rPr>
          <w:rFonts w:ascii="Arial" w:hAnsi="Arial" w:cs="Arial"/>
          <w:b/>
          <w:sz w:val="18"/>
          <w:szCs w:val="18"/>
        </w:rPr>
        <w:t xml:space="preserve">DDZ-Pressebilder dürfen nur für redaktionelle Zwecke unter der Führung des Bildnachweises: „Quelle: DDZ e.V.“ verwendet werden. Der Abdruck ist honorarfrei. Wir bitten jedoch um Zusendung eines Belegexemplars bzw. einen Hinweis zum Ort der Veröffentlichung.  </w:t>
      </w:r>
    </w:p>
    <w:p>
      <w:pPr>
        <w:autoSpaceDE w:val="0"/>
        <w:autoSpaceDN w:val="0"/>
        <w:adjustRightInd w:val="0"/>
        <w:spacing w:after="0" w:line="300" w:lineRule="exact"/>
        <w:jc w:val="both"/>
        <w:rPr>
          <w:rFonts w:ascii="Arial" w:hAnsi="Arial" w:cs="Arial"/>
          <w:szCs w:val="18"/>
        </w:rPr>
      </w:pPr>
    </w:p>
    <w:p>
      <w:pPr>
        <w:spacing w:line="300" w:lineRule="exact"/>
        <w:jc w:val="both"/>
        <w:rPr>
          <w:rFonts w:ascii="Arial" w:hAnsi="Arial" w:cs="Arial"/>
          <w:b/>
          <w:sz w:val="20"/>
          <w:szCs w:val="20"/>
        </w:rPr>
      </w:pPr>
      <w:r>
        <w:rPr>
          <w:rFonts w:ascii="Arial" w:hAnsi="Arial" w:cs="Arial"/>
          <w:b/>
          <w:sz w:val="20"/>
          <w:szCs w:val="20"/>
        </w:rPr>
        <w:t>Ansprechpartner am DDZ für weitere Fragen ist:</w:t>
      </w:r>
    </w:p>
    <w:p>
      <w:pPr>
        <w:spacing w:line="300" w:lineRule="exact"/>
        <w:jc w:val="both"/>
        <w:rPr>
          <w:rFonts w:ascii="Arial" w:hAnsi="Arial" w:cs="Arial"/>
          <w:sz w:val="20"/>
          <w:szCs w:val="20"/>
        </w:rPr>
      </w:pPr>
    </w:p>
    <w:tbl>
      <w:tblPr>
        <w:tblStyle w:val="Tabellenraster"/>
        <w:tblW w:w="46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tc>
          <w:tcPr>
            <w:tcW w:w="4673" w:type="dxa"/>
          </w:tcPr>
          <w:tbl>
            <w:tblPr>
              <w:tblStyle w:val="Tabellenraster"/>
              <w:tblW w:w="9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gridCol w:w="4634"/>
            </w:tblGrid>
            <w:tr>
              <w:trPr>
                <w:trHeight w:val="1955"/>
              </w:trPr>
              <w:tc>
                <w:tcPr>
                  <w:tcW w:w="4625" w:type="dxa"/>
                </w:tcPr>
                <w:p>
                  <w:pPr>
                    <w:spacing w:after="0"/>
                    <w:jc w:val="both"/>
                    <w:rPr>
                      <w:rFonts w:ascii="Arial" w:hAnsi="Arial" w:cs="Arial"/>
                      <w:sz w:val="20"/>
                      <w:szCs w:val="20"/>
                    </w:rPr>
                  </w:pPr>
                  <w:r>
                    <w:rPr>
                      <w:rFonts w:ascii="Arial" w:hAnsi="Arial" w:cs="Arial"/>
                      <w:sz w:val="20"/>
                      <w:szCs w:val="20"/>
                    </w:rPr>
                    <w:t>Gordon McBane</w:t>
                  </w:r>
                </w:p>
                <w:p>
                  <w:pPr>
                    <w:spacing w:after="0"/>
                    <w:jc w:val="both"/>
                    <w:rPr>
                      <w:rFonts w:ascii="Arial" w:hAnsi="Arial" w:cs="Arial"/>
                      <w:sz w:val="20"/>
                      <w:szCs w:val="20"/>
                    </w:rPr>
                  </w:pPr>
                  <w:r>
                    <w:rPr>
                      <w:rFonts w:ascii="Arial" w:hAnsi="Arial" w:cs="Arial"/>
                      <w:sz w:val="20"/>
                      <w:szCs w:val="20"/>
                    </w:rPr>
                    <w:t>Pressesprecher</w:t>
                  </w:r>
                </w:p>
                <w:p>
                  <w:pPr>
                    <w:spacing w:after="0"/>
                    <w:jc w:val="both"/>
                    <w:rPr>
                      <w:rFonts w:ascii="Arial" w:hAnsi="Arial" w:cs="Arial"/>
                      <w:sz w:val="20"/>
                      <w:szCs w:val="20"/>
                    </w:rPr>
                  </w:pPr>
                </w:p>
                <w:p>
                  <w:pPr>
                    <w:spacing w:after="0"/>
                    <w:jc w:val="both"/>
                    <w:rPr>
                      <w:rFonts w:ascii="Arial" w:hAnsi="Arial" w:cs="Arial"/>
                      <w:sz w:val="20"/>
                      <w:szCs w:val="20"/>
                    </w:rPr>
                  </w:pPr>
                  <w:r>
                    <w:rPr>
                      <w:rFonts w:ascii="Arial" w:hAnsi="Arial" w:cs="Arial"/>
                      <w:sz w:val="20"/>
                      <w:szCs w:val="20"/>
                    </w:rPr>
                    <w:t>Deutsches Diabetes-Zentrum (DDZ)</w:t>
                  </w:r>
                </w:p>
                <w:p>
                  <w:pPr>
                    <w:spacing w:after="0"/>
                    <w:jc w:val="both"/>
                    <w:rPr>
                      <w:rFonts w:ascii="Arial" w:hAnsi="Arial" w:cs="Arial"/>
                      <w:sz w:val="20"/>
                      <w:szCs w:val="20"/>
                    </w:rPr>
                  </w:pPr>
                  <w:r>
                    <w:rPr>
                      <w:rFonts w:ascii="Arial" w:hAnsi="Arial" w:cs="Arial"/>
                      <w:sz w:val="20"/>
                      <w:szCs w:val="20"/>
                    </w:rPr>
                    <w:t>Leibniz-Zentrum für Diabetes-Forschung</w:t>
                  </w:r>
                </w:p>
                <w:p>
                  <w:pPr>
                    <w:spacing w:after="0"/>
                    <w:jc w:val="both"/>
                    <w:rPr>
                      <w:rFonts w:ascii="Arial" w:hAnsi="Arial" w:cs="Arial"/>
                      <w:sz w:val="20"/>
                      <w:szCs w:val="20"/>
                    </w:rPr>
                  </w:pPr>
                  <w:r>
                    <w:rPr>
                      <w:rFonts w:ascii="Arial" w:hAnsi="Arial" w:cs="Arial"/>
                      <w:sz w:val="20"/>
                      <w:szCs w:val="20"/>
                    </w:rPr>
                    <w:t>an der Heinrich-Heine-Universität Düsseldorf</w:t>
                  </w:r>
                </w:p>
                <w:p>
                  <w:pPr>
                    <w:spacing w:after="0"/>
                    <w:jc w:val="both"/>
                    <w:rPr>
                      <w:rFonts w:ascii="Arial" w:hAnsi="Arial" w:cs="Arial"/>
                      <w:sz w:val="20"/>
                      <w:szCs w:val="20"/>
                    </w:rPr>
                  </w:pPr>
                  <w:r>
                    <w:rPr>
                      <w:rFonts w:ascii="Arial" w:hAnsi="Arial" w:cs="Arial"/>
                      <w:sz w:val="20"/>
                      <w:szCs w:val="20"/>
                    </w:rPr>
                    <w:t>Tel.: 0211-3382-450</w:t>
                  </w:r>
                </w:p>
                <w:p>
                  <w:pPr>
                    <w:spacing w:after="0"/>
                    <w:rPr>
                      <w:rStyle w:val="Hyperlink"/>
                      <w:rFonts w:ascii="Arial" w:hAnsi="Arial" w:cs="Arial"/>
                      <w:sz w:val="20"/>
                      <w:szCs w:val="20"/>
                    </w:rPr>
                  </w:pPr>
                  <w:r>
                    <w:rPr>
                      <w:rFonts w:ascii="Arial" w:hAnsi="Arial" w:cs="Arial"/>
                      <w:sz w:val="20"/>
                      <w:szCs w:val="20"/>
                    </w:rPr>
                    <w:t xml:space="preserve">E-Mail: </w:t>
                  </w:r>
                  <w:hyperlink r:id="rId9" w:history="1">
                    <w:r>
                      <w:rPr>
                        <w:rStyle w:val="Hyperlink"/>
                        <w:rFonts w:ascii="Arial" w:hAnsi="Arial" w:cs="Arial"/>
                        <w:sz w:val="20"/>
                        <w:szCs w:val="20"/>
                      </w:rPr>
                      <w:t>Gordon.McBane@ddz.de</w:t>
                    </w:r>
                  </w:hyperlink>
                </w:p>
                <w:p>
                  <w:pPr>
                    <w:spacing w:after="0"/>
                    <w:jc w:val="both"/>
                    <w:rPr>
                      <w:rFonts w:ascii="Arial" w:hAnsi="Arial" w:cs="Arial"/>
                      <w:sz w:val="20"/>
                      <w:szCs w:val="20"/>
                    </w:rPr>
                  </w:pPr>
                </w:p>
              </w:tc>
              <w:tc>
                <w:tcPr>
                  <w:tcW w:w="4634" w:type="dxa"/>
                </w:tcPr>
                <w:p>
                  <w:pPr>
                    <w:spacing w:after="0"/>
                    <w:rPr>
                      <w:rFonts w:ascii="Arial" w:hAnsi="Arial" w:cs="Arial"/>
                      <w:sz w:val="20"/>
                      <w:szCs w:val="20"/>
                    </w:rPr>
                  </w:pPr>
                </w:p>
              </w:tc>
            </w:tr>
          </w:tbl>
          <w:p>
            <w:pPr>
              <w:spacing w:after="0"/>
              <w:jc w:val="both"/>
              <w:rPr>
                <w:rFonts w:ascii="Arial" w:hAnsi="Arial" w:cs="Arial"/>
                <w:sz w:val="20"/>
                <w:szCs w:val="20"/>
              </w:rPr>
            </w:pPr>
          </w:p>
        </w:tc>
      </w:tr>
    </w:tbl>
    <w:p>
      <w:pPr>
        <w:tabs>
          <w:tab w:val="left" w:pos="6188"/>
        </w:tabs>
        <w:rPr>
          <w:rFonts w:ascii="Arial" w:hAnsi="Arial" w:cs="Arial"/>
        </w:rPr>
      </w:pPr>
    </w:p>
    <w:sectPr>
      <w:headerReference w:type="default" r:id="rId10"/>
      <w:pgSz w:w="11906" w:h="16838"/>
      <w:pgMar w:top="1417" w:right="1417" w:bottom="1134" w:left="1417" w:header="1134"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B70F9" w16cex:dateUtc="2021-02-08T07:12:00Z"/>
  <w16cex:commentExtensible w16cex:durableId="23CB7119" w16cex:dateUtc="2021-02-08T07:13:00Z"/>
  <w16cex:commentExtensible w16cex:durableId="23CB719E" w16cex:dateUtc="2021-02-08T07: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BCA9396" w16cid:durableId="23CB70F9"/>
  <w16cid:commentId w16cid:paraId="7BC5CF52" w16cid:durableId="23CB7119"/>
  <w16cid:commentId w16cid:paraId="19530B5A" w16cid:durableId="23CB719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pPr>
      <w:r>
        <w:separator/>
      </w:r>
    </w:p>
  </w:footnote>
  <w:footnote w:type="continuationSeparator" w:id="0">
    <w:p>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rPr>
        <w:rFonts w:ascii="Arial" w:hAnsi="Arial" w:cs="Arial"/>
        <w:sz w:val="2"/>
        <w:szCs w:val="16"/>
      </w:rPr>
    </w:pPr>
    <w:r>
      <w:rPr>
        <w:noProof/>
        <w:lang w:eastAsia="de-DE"/>
      </w:rPr>
      <w:drawing>
        <wp:anchor distT="0" distB="0" distL="114300" distR="114300" simplePos="0" relativeHeight="251659264" behindDoc="1" locked="0" layoutInCell="1" allowOverlap="1">
          <wp:simplePos x="0" y="0"/>
          <wp:positionH relativeFrom="margin">
            <wp:posOffset>4615180</wp:posOffset>
          </wp:positionH>
          <wp:positionV relativeFrom="margin">
            <wp:posOffset>-376555</wp:posOffset>
          </wp:positionV>
          <wp:extent cx="1145540" cy="436245"/>
          <wp:effectExtent l="0" t="0" r="0" b="1905"/>
          <wp:wrapTight wrapText="bothSides">
            <wp:wrapPolygon edited="0">
              <wp:start x="0" y="0"/>
              <wp:lineTo x="0" y="20751"/>
              <wp:lineTo x="21193" y="20751"/>
              <wp:lineTo x="21193" y="0"/>
              <wp:lineTo x="0" y="0"/>
            </wp:wrapPolygon>
          </wp:wrapTight>
          <wp:docPr id="13" name="Bild 13" descr="Logo_HHU_+Name_horizontal_4c_+Safezon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_HHU_+Name_horizontal_4c_+Safezone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6192" behindDoc="1" locked="0" layoutInCell="1" allowOverlap="1">
          <wp:simplePos x="0" y="0"/>
          <wp:positionH relativeFrom="margin">
            <wp:posOffset>-4445</wp:posOffset>
          </wp:positionH>
          <wp:positionV relativeFrom="margin">
            <wp:posOffset>-442595</wp:posOffset>
          </wp:positionV>
          <wp:extent cx="1801495" cy="502285"/>
          <wp:effectExtent l="0" t="0" r="8255" b="0"/>
          <wp:wrapTight wrapText="bothSides">
            <wp:wrapPolygon edited="0">
              <wp:start x="0" y="0"/>
              <wp:lineTo x="0" y="20480"/>
              <wp:lineTo x="21471" y="20480"/>
              <wp:lineTo x="21471" y="0"/>
              <wp:lineTo x="0" y="0"/>
            </wp:wrapPolygon>
          </wp:wrapTight>
          <wp:docPr id="8" name="Bild 8" descr="DDZ_wortmarke_DE_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Z_wortmarke_DE_5c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1495" cy="502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7216" behindDoc="0" locked="0" layoutInCell="1" allowOverlap="1">
          <wp:simplePos x="0" y="0"/>
          <wp:positionH relativeFrom="margin">
            <wp:posOffset>0</wp:posOffset>
          </wp:positionH>
          <wp:positionV relativeFrom="margin">
            <wp:posOffset>119380</wp:posOffset>
          </wp:positionV>
          <wp:extent cx="5762625" cy="27305"/>
          <wp:effectExtent l="0" t="0" r="0" b="0"/>
          <wp:wrapSquare wrapText="bothSides"/>
          <wp:docPr id="10" name="Bild 10" descr="DDZ_Linie_020310_umgewandelt-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Z_Linie_020310_umgewandelt-dina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62625" cy="27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8240" behindDoc="0" locked="0" layoutInCell="1" allowOverlap="1">
          <wp:simplePos x="0" y="0"/>
          <wp:positionH relativeFrom="column">
            <wp:posOffset>3906520</wp:posOffset>
          </wp:positionH>
          <wp:positionV relativeFrom="paragraph">
            <wp:posOffset>-260350</wp:posOffset>
          </wp:positionV>
          <wp:extent cx="687705" cy="560705"/>
          <wp:effectExtent l="0" t="0" r="0" b="0"/>
          <wp:wrapSquare wrapText="bothSides"/>
          <wp:docPr id="12" name="Bild 12" descr="Leibniz__Logo_DE_Blau-schwarz_54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ibniz__Logo_DE_Blau-schwarz_54m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7705" cy="560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sz w:val="2"/>
        <w:szCs w:val="16"/>
        <w:lang w:eastAsia="de-DE"/>
      </w:rPr>
      <w:b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C5CDA1F3-F6FF-4D2A-B844-C4757D0F2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120"/>
    </w:pPr>
    <w:rPr>
      <w:sz w:val="22"/>
      <w:szCs w:val="22"/>
      <w:lang w:eastAsia="en-US"/>
    </w:rPr>
  </w:style>
  <w:style w:type="paragraph" w:styleId="berschrift1">
    <w:name w:val="heading 1"/>
    <w:basedOn w:val="Standard"/>
    <w:next w:val="Standard"/>
    <w:link w:val="berschrift1Zchn"/>
    <w:uiPriority w:val="9"/>
    <w:qFormat/>
    <w:pPr>
      <w:keepNext/>
      <w:keepLines/>
      <w:spacing w:before="240" w:after="0" w:line="259" w:lineRule="auto"/>
      <w:outlineLvl w:val="0"/>
    </w:pPr>
    <w:rPr>
      <w:rFonts w:ascii="Calibri Light" w:eastAsia="Times New Roman" w:hAnsi="Calibri Light"/>
      <w:color w:val="2E74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pPr>
      <w:spacing w:after="0"/>
    </w:pPr>
    <w:rPr>
      <w:rFonts w:ascii="Tahoma" w:hAnsi="Tahoma" w:cs="Tahoma"/>
      <w:sz w:val="16"/>
      <w:szCs w:val="16"/>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unhideWhenUsed/>
    <w:pPr>
      <w:tabs>
        <w:tab w:val="center" w:pos="4536"/>
        <w:tab w:val="right" w:pos="9072"/>
      </w:tabs>
      <w:spacing w:after="0"/>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pPr>
  </w:style>
  <w:style w:type="character" w:customStyle="1" w:styleId="FuzeileZchn">
    <w:name w:val="Fußzeile Zchn"/>
    <w:basedOn w:val="Absatz-Standardschriftart"/>
    <w:link w:val="Fuzeile"/>
    <w:uiPriority w:val="99"/>
  </w:style>
  <w:style w:type="table" w:customStyle="1" w:styleId="Tabellengitternetz">
    <w:name w:val="Tabellengitternetz"/>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1Zchn">
    <w:name w:val="Überschrift 1 Zchn"/>
    <w:link w:val="berschrift1"/>
    <w:uiPriority w:val="9"/>
    <w:rPr>
      <w:rFonts w:ascii="Calibri Light" w:eastAsia="Times New Roman" w:hAnsi="Calibri Light"/>
      <w:color w:val="2E74B5"/>
      <w:sz w:val="32"/>
      <w:szCs w:val="32"/>
      <w:lang w:eastAsia="en-US"/>
    </w:rPr>
  </w:style>
  <w:style w:type="character" w:styleId="Hyperlink">
    <w:name w:val="Hyperlink"/>
    <w:uiPriority w:val="99"/>
    <w:unhideWhenUsed/>
    <w:rPr>
      <w:color w:val="0563C1"/>
      <w:u w:val="single"/>
    </w:rPr>
  </w:style>
  <w:style w:type="character" w:styleId="BesuchterLink">
    <w:name w:val="FollowedHyperlink"/>
    <w:uiPriority w:val="99"/>
    <w:semiHidden/>
    <w:unhideWhenUsed/>
    <w:rPr>
      <w:color w:val="954F72"/>
      <w:u w:val="single"/>
    </w:rPr>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ommentarzeichen">
    <w:name w:val="annotation reference"/>
    <w:semiHidden/>
    <w:unhideWhenUsed/>
    <w:rPr>
      <w:sz w:val="16"/>
      <w:szCs w:val="16"/>
    </w:rPr>
  </w:style>
  <w:style w:type="paragraph" w:styleId="Kommentartext">
    <w:name w:val="annotation text"/>
    <w:basedOn w:val="Standard"/>
    <w:link w:val="KommentartextZchn"/>
    <w:semiHidden/>
    <w:unhideWhenUsed/>
    <w:rPr>
      <w:sz w:val="20"/>
      <w:szCs w:val="20"/>
    </w:rPr>
  </w:style>
  <w:style w:type="character" w:customStyle="1" w:styleId="KommentartextZchn">
    <w:name w:val="Kommentartext Zchn"/>
    <w:basedOn w:val="Absatz-Standardschriftart"/>
    <w:link w:val="Kommentartext"/>
    <w:semiHidden/>
    <w:rPr>
      <w:lang w:eastAsia="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lang w:eastAsia="en-US"/>
    </w:rPr>
  </w:style>
  <w:style w:type="character" w:customStyle="1" w:styleId="docsum-authors">
    <w:name w:val="docsum-authors"/>
    <w:basedOn w:val="Absatz-Standardschriftart"/>
  </w:style>
  <w:style w:type="character" w:customStyle="1" w:styleId="docsum-journal-citation">
    <w:name w:val="docsum-journal-citation"/>
    <w:basedOn w:val="Absatz-Standardschriftart"/>
  </w:style>
  <w:style w:type="paragraph" w:styleId="berarbeitung">
    <w:name w:val="Revision"/>
    <w:hidden/>
    <w:uiPriority w:val="99"/>
    <w:semiHidden/>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7291191">
      <w:bodyDiv w:val="1"/>
      <w:marLeft w:val="0"/>
      <w:marRight w:val="0"/>
      <w:marTop w:val="0"/>
      <w:marBottom w:val="0"/>
      <w:divBdr>
        <w:top w:val="none" w:sz="0" w:space="0" w:color="auto"/>
        <w:left w:val="none" w:sz="0" w:space="0" w:color="auto"/>
        <w:bottom w:val="none" w:sz="0" w:space="0" w:color="auto"/>
        <w:right w:val="none" w:sz="0" w:space="0" w:color="auto"/>
      </w:divBdr>
      <w:divsChild>
        <w:div w:id="414712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dz.de/" TargetMode="External"/><Relationship Id="rId13" Type="http://schemas.microsoft.com/office/2016/09/relationships/commentsIds" Target="commentsIds.xml"/><Relationship Id="rId3" Type="http://schemas.openxmlformats.org/officeDocument/2006/relationships/settings" Target="settings.xml"/><Relationship Id="rId7" Type="http://schemas.openxmlformats.org/officeDocument/2006/relationships/hyperlink" Target="https://pubmed.ncbi.nlm.nih.gov/31667519/"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Gordon.McBane@ddz.de" TargetMode="External"/><Relationship Id="rId1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3CBB8-F4F7-4E02-8D7B-D413C7217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780</Words>
  <Characters>4262</Characters>
  <Application>Microsoft Office Word</Application>
  <DocSecurity>0</DocSecurity>
  <Lines>202</Lines>
  <Paragraphs>132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pavlechko</dc:creator>
  <cp:keywords/>
  <cp:lastModifiedBy>Weber, Katrin</cp:lastModifiedBy>
  <cp:revision>2</cp:revision>
  <cp:lastPrinted>2012-03-30T09:55:00Z</cp:lastPrinted>
  <dcterms:created xsi:type="dcterms:W3CDTF">2021-03-03T09:44:00Z</dcterms:created>
  <dcterms:modified xsi:type="dcterms:W3CDTF">2021-03-03T09:44:00Z</dcterms:modified>
</cp:coreProperties>
</file>